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北京地铁公司公开选拔中层副职领导人员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职位说明书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及招聘条件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</w:p>
    <w:tbl>
      <w:tblPr>
        <w:tblStyle w:val="4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8"/>
                <w:lang w:val="en-US" w:eastAsia="zh-CN"/>
              </w:rPr>
              <w:t>运营三分公司副经理</w:t>
            </w:r>
            <w:r>
              <w:rPr>
                <w:rFonts w:hint="eastAsia" w:ascii="仿宋_GB2312" w:hAnsi="仿宋" w:eastAsia="仿宋_GB2312"/>
                <w:b/>
                <w:sz w:val="28"/>
              </w:rPr>
              <w:t>职位概要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在经理的领导下，负责企业人力资源管理、财务管理、招标采购管理等工作。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9332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1.贯彻执行党的路线方针政策、国家法律法规和地铁公司各项规章制度及企业各项标准、规章制度。组织制订、修订主管业务方面的规章制度、工作规范和业务流程，组织贯彻落实并监督、检查实施情况。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2.负责企业人力资源开发规划、招聘和调配等工作。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3.负责企业员工薪酬福利、绩效管理、教育培训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技能鉴定等工作。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4.负责企业员工社会保障、签订企业劳动合同以及劳务派遣协议管理等工作。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5.负责组织企业退休职工的管理等工作。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6.负责企业财务管理工作。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7.负责企业招标采购管理、合同管理、供应商管理等工作。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完成上级交办的其他工作。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基本任职要求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具有大学本科及以上文化程度。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具有累计5年以上企业经营管理、财务管理或相关经历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具有中级及以上专业技术职称。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.熟悉国家、北京市、行业相关法律法规及政策，了解现代企业管理模式和国内外企业管理发展趋势及行业动态，熟悉企业管理、人力资源管理、招标采购管理、财务管理等方面的知识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.具有较强的组织管理、沟通协调、开拓创新、处理复杂问题和突发事件及语言文字表达能力，能够熟练使用计算机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具有正常履行职责的身体条件。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="1393" w:tblpY="485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通信信号分公司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副经理职位概要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在经理的领导下，负责企业安全生产体系、应急体系建设、治安保卫、运营服务、市场营销、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接诉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即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办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hAnsi="仿宋" w:eastAsia="仿宋_GB2312"/>
                <w:sz w:val="24"/>
              </w:rPr>
              <w:t>乘客需求管理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法治建设与风险管理、</w:t>
            </w:r>
            <w:r>
              <w:rPr>
                <w:rFonts w:hint="eastAsia" w:ascii="仿宋_GB2312" w:hAnsi="仿宋" w:eastAsia="仿宋_GB2312"/>
                <w:sz w:val="24"/>
              </w:rPr>
              <w:t>企业发展与改革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9332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1.贯彻执行党的路线方针政策、国家法律法规和地铁公司各项规章制度及企业各项标准、规章制度。组织制订、修订主管业务方面的规章制度、工作规范和业务流程，组织贯彻落实并监督、检查实施情况。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2.负责企业安全生产体系建设与管理工作，负责企业运营安全、设备、劳动、消防、交通管理等工作。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3.负责企业</w:t>
            </w:r>
            <w:r>
              <w:rPr>
                <w:rFonts w:hint="eastAsia" w:ascii="仿宋_GB2312" w:hAnsi="仿宋" w:eastAsia="仿宋_GB2312"/>
                <w:sz w:val="24"/>
              </w:rPr>
              <w:t>乘客需求管理、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“接诉即办”工作、组织对乘客投诉、服务纠纷进行调查处理。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4.负责企业法治建设与风险管理等工作，负责内控管理体系、质量管理体系的建设管理工作，组织开展企业法务合规工作。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5.负责</w:t>
            </w:r>
            <w:r>
              <w:rPr>
                <w:rFonts w:hint="eastAsia" w:ascii="仿宋_GB2312" w:hAnsi="仿宋" w:eastAsia="仿宋_GB2312"/>
                <w:sz w:val="24"/>
              </w:rPr>
              <w:t>企业发展与改革工作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6.负责企业规章制度和标准化的归口管理、对标管理以及综合档案管理工作。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7.负责企业治安保卫等工作。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8.完成上级交办的其他工作。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基本任职要求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933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1.具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有大学本科及以上文化程度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具有累计5年以上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轨道交通通信信号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安全管理、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市场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营销、企业经营管理或相关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经历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轨道交通通信信号专业或相关专业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中级及以上专业技术职称或注册安全工程师资格。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.熟悉国家、北京市、行业相关法律法规及政策，了解现代企业管理模式和国内外企业管理发展趋势及行业动态，熟悉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轨道交通通信信号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安全管理、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市场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营销、企业经营管理等方面的知识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.具有较强的组织管理、沟通协调、开拓创新、处理复杂问题和突发事件及语言文字表达能力，能够熟练使用计算机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具有正常履行职责的身体条件。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</w:p>
    <w:tbl>
      <w:tblPr>
        <w:tblStyle w:val="4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线路分公司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副经理职位概要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在经理的领导下，负责运营生产计划管理、生产调度指挥、设备设施维护管理、资产综合管理、能源管理、保护区管理及外部工程管理等工作。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9332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1.贯彻执行党的路线方针政策、国家法律法规和地铁公司各项规章制度及企业各项标准、规章制度。组织制订、修订主管业务方面的规章制度、工作规范和业务流程，组织贯彻落实并监督、检查实施情况。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2.负责企业运营生产计划管理、生产调度指挥等相关工作。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3.负责企业设备设施维护管理及设备维修、改造等质量检验管理等工作。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4.负责企业资产、物资管理、能源管理等工作。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5.负责企业保护区管理、外部工程管理等工作。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6.完成上级交办的其他工作。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基本任职要求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具有大学本科及以上文化程度。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.具有累计5年以上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轨道交通线路工程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安全运营、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、设备设施管理等工作经历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轨道线路工程专业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中级及以上专业技术职称。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了解现代企业管理模式和国内外企业管理发展趋势及行业动态，熟悉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轨道交通线路工程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运营生产管理、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设备设施管理、质量管理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等方面的知识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具有较强的组织管理、沟通协调、开拓创新、处理复杂问题和突发事件及语言文字表达能力，能够熟练使用计算机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具有正常履行职责的身体条件。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br w:type="page"/>
      </w:r>
    </w:p>
    <w:tbl>
      <w:tblPr>
        <w:tblStyle w:val="4"/>
        <w:tblpPr w:leftFromText="180" w:rightFromText="180" w:vertAnchor="text" w:horzAnchor="page" w:tblpX="1640" w:tblpY="736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机电分公司总工程师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职位概要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在经理的领导下，负责企业技术管理、计量管理、科研技措管理、信息化建设、工程项目管理、新线拓展、筹备等工作。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9332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1.贯彻执行党的路线方针政策、国家法律法规和地铁公司各项规章制度及企业各项标准、规章制度。组织制订、修订主管业务方面的规章制度、工作规范和业务流程，组织贯彻落实并监督、检查落实情况。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2.负责企业的技术管理、</w:t>
            </w:r>
            <w:r>
              <w:rPr>
                <w:rFonts w:hint="eastAsia" w:ascii="仿宋_GB2312" w:hAnsi="仿宋" w:eastAsia="仿宋_GB2312"/>
                <w:sz w:val="24"/>
              </w:rPr>
              <w:t>计量管理等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3.负责企业科研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技措管理工作，新技术、新方法的引进消化，新材料、新工艺的推广应用。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4.负责企业信息化建设、网信基础设施管理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网络安全管理、大数据管理、数字化管控等工作，组织实施网信基础设施及各系统应用替代工作。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5.负责企业工程项目管理、施工配合等工作。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6.负责企业</w:t>
            </w:r>
            <w:r>
              <w:rPr>
                <w:rFonts w:hint="eastAsia" w:ascii="仿宋_GB2312" w:hAnsi="仿宋" w:eastAsia="仿宋_GB2312"/>
                <w:sz w:val="24"/>
              </w:rPr>
              <w:t>新线运营权拓展及新线开通筹备等工作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7.负责企业环境保护管理工作。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8.负责企业知识产权管理工作。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完成上级交办的其他工作。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基本任职要求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933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具有大学本科及以上文化程度。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具有累计5年以上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轨道交通机电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相关专业管理工作经历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轨道交通机电相关专业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高级及以上专业技术职称。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熟悉国家、北京市、行业相关法律法规及政策，了解现代企业管理模式和国内外企业管理发展趋势及行业动态，熟悉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轨道交通机电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设备设施管理、质量检验、计量理论、技术标准、工程项目管理、信息化建设等方面的知识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具有较强的组织管理、沟通协调、开拓创新、处理复杂问题和突发事件及语言文字表达能力，能够熟练使用计算机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6.具有正常履行职责的身体条件。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2Y1NzIzOWM4N2MwMzIzMDI3NTBlZjExMGFjYmMifQ=="/>
  </w:docVars>
  <w:rsids>
    <w:rsidRoot w:val="6AC7518A"/>
    <w:rsid w:val="00077502"/>
    <w:rsid w:val="000B6E65"/>
    <w:rsid w:val="00265826"/>
    <w:rsid w:val="003411F1"/>
    <w:rsid w:val="00352C4C"/>
    <w:rsid w:val="00470A67"/>
    <w:rsid w:val="005B6D46"/>
    <w:rsid w:val="005F5FE6"/>
    <w:rsid w:val="00663941"/>
    <w:rsid w:val="006A48D9"/>
    <w:rsid w:val="007B69E9"/>
    <w:rsid w:val="007E6E99"/>
    <w:rsid w:val="00801A4F"/>
    <w:rsid w:val="008B60E4"/>
    <w:rsid w:val="009A5D49"/>
    <w:rsid w:val="009D3BA7"/>
    <w:rsid w:val="00AE1ACB"/>
    <w:rsid w:val="00B243A1"/>
    <w:rsid w:val="00C03780"/>
    <w:rsid w:val="00D565DE"/>
    <w:rsid w:val="00D97935"/>
    <w:rsid w:val="00E43DF9"/>
    <w:rsid w:val="00E475FF"/>
    <w:rsid w:val="00E7571F"/>
    <w:rsid w:val="00E87000"/>
    <w:rsid w:val="00F368D4"/>
    <w:rsid w:val="00F70BCC"/>
    <w:rsid w:val="012E1262"/>
    <w:rsid w:val="01665FE7"/>
    <w:rsid w:val="01B76A69"/>
    <w:rsid w:val="041D2A27"/>
    <w:rsid w:val="053F19C3"/>
    <w:rsid w:val="061A19B1"/>
    <w:rsid w:val="06394C90"/>
    <w:rsid w:val="090E2945"/>
    <w:rsid w:val="09AF4121"/>
    <w:rsid w:val="0A5B3CD2"/>
    <w:rsid w:val="0B761B47"/>
    <w:rsid w:val="0C0F3B47"/>
    <w:rsid w:val="0D2F0B75"/>
    <w:rsid w:val="0F6B3A02"/>
    <w:rsid w:val="114C551F"/>
    <w:rsid w:val="13103BC1"/>
    <w:rsid w:val="13622DEA"/>
    <w:rsid w:val="13736C07"/>
    <w:rsid w:val="13FF5A0A"/>
    <w:rsid w:val="16437993"/>
    <w:rsid w:val="185D743E"/>
    <w:rsid w:val="1C767869"/>
    <w:rsid w:val="1FA62357"/>
    <w:rsid w:val="20604E98"/>
    <w:rsid w:val="21C1035B"/>
    <w:rsid w:val="230633CA"/>
    <w:rsid w:val="236220F8"/>
    <w:rsid w:val="23DD1433"/>
    <w:rsid w:val="2424304F"/>
    <w:rsid w:val="24653902"/>
    <w:rsid w:val="253F23A5"/>
    <w:rsid w:val="266A2FA6"/>
    <w:rsid w:val="274E0675"/>
    <w:rsid w:val="2ACE715D"/>
    <w:rsid w:val="2B1C629F"/>
    <w:rsid w:val="2D8E74D7"/>
    <w:rsid w:val="30A25C23"/>
    <w:rsid w:val="346C0A2A"/>
    <w:rsid w:val="365C268B"/>
    <w:rsid w:val="369652BB"/>
    <w:rsid w:val="36E0506A"/>
    <w:rsid w:val="392F67EF"/>
    <w:rsid w:val="399345F2"/>
    <w:rsid w:val="3AC6527A"/>
    <w:rsid w:val="3D307460"/>
    <w:rsid w:val="3F394C63"/>
    <w:rsid w:val="3FA27B57"/>
    <w:rsid w:val="401B4B48"/>
    <w:rsid w:val="40C92CC8"/>
    <w:rsid w:val="44706D88"/>
    <w:rsid w:val="44980F05"/>
    <w:rsid w:val="45D22E1F"/>
    <w:rsid w:val="46647F45"/>
    <w:rsid w:val="47523754"/>
    <w:rsid w:val="47E437A7"/>
    <w:rsid w:val="4A802994"/>
    <w:rsid w:val="4AF0688F"/>
    <w:rsid w:val="4AF17E94"/>
    <w:rsid w:val="4CF3744D"/>
    <w:rsid w:val="504104A3"/>
    <w:rsid w:val="51B96BA5"/>
    <w:rsid w:val="52E94D19"/>
    <w:rsid w:val="5412605A"/>
    <w:rsid w:val="55562807"/>
    <w:rsid w:val="559B2D4F"/>
    <w:rsid w:val="573528DD"/>
    <w:rsid w:val="57495987"/>
    <w:rsid w:val="57B43C7D"/>
    <w:rsid w:val="59332F4E"/>
    <w:rsid w:val="59D20E47"/>
    <w:rsid w:val="5A742A4D"/>
    <w:rsid w:val="5B1F49F2"/>
    <w:rsid w:val="5B1F58B2"/>
    <w:rsid w:val="5D0D4D06"/>
    <w:rsid w:val="5D2354D7"/>
    <w:rsid w:val="62490E4B"/>
    <w:rsid w:val="63AF39F0"/>
    <w:rsid w:val="63DE1A37"/>
    <w:rsid w:val="64A91920"/>
    <w:rsid w:val="65476131"/>
    <w:rsid w:val="67B54AAB"/>
    <w:rsid w:val="67CD7043"/>
    <w:rsid w:val="67FD341E"/>
    <w:rsid w:val="68164673"/>
    <w:rsid w:val="69545323"/>
    <w:rsid w:val="69C47128"/>
    <w:rsid w:val="69D9075E"/>
    <w:rsid w:val="6AB06428"/>
    <w:rsid w:val="6AC7518A"/>
    <w:rsid w:val="6C3A079D"/>
    <w:rsid w:val="6CCE577C"/>
    <w:rsid w:val="6CD379B8"/>
    <w:rsid w:val="6CE34737"/>
    <w:rsid w:val="6D4B2276"/>
    <w:rsid w:val="6E59628C"/>
    <w:rsid w:val="6EC57260"/>
    <w:rsid w:val="70342CA5"/>
    <w:rsid w:val="7111358D"/>
    <w:rsid w:val="711E19CD"/>
    <w:rsid w:val="71C01745"/>
    <w:rsid w:val="765A0671"/>
    <w:rsid w:val="7954157E"/>
    <w:rsid w:val="7A210488"/>
    <w:rsid w:val="7BF554F9"/>
    <w:rsid w:val="7F891463"/>
    <w:rsid w:val="7FC05D23"/>
    <w:rsid w:val="7FD0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1041</Words>
  <Characters>5937</Characters>
  <Lines>49</Lines>
  <Paragraphs>13</Paragraphs>
  <TotalTime>3</TotalTime>
  <ScaleCrop>false</ScaleCrop>
  <LinksUpToDate>false</LinksUpToDate>
  <CharactersWithSpaces>6965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2023-11-24T03:44:00Z</dcterms:created>
  <dc:creator>tangzhzh</dc:creator>
  <cp:lastModifiedBy>後徕</cp:lastModifiedBy>
  <cp:lastPrinted>2023-12-14T08:26:00Z</cp:lastPrinted>
  <dcterms:modified xsi:type="dcterms:W3CDTF">2023-12-15T05:00:54Z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3859A19526E046438ADE356BF61808A0_13</vt:lpwstr>
  </property>
</Properties>
</file>